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30" w:rsidRPr="00756630" w:rsidRDefault="00756630" w:rsidP="007566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663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 для получателей субсидий и грантов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Обязательства при получении субсидии или гранта в форме субсидии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получении государственной невозвратной финансовой поддержки, к которой относятся субсидии и гранты в форме субсидий, предприниматель берет на себя обязательства по развитию своего бизнеса.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Это условие прописано в порядке предоставления каждого вида субсидий и грантов. Порядком предоставления субсидии (гранта) определяется результат и его характеристики, а также числовые требования к плановым значениям (минимальные требования). Плановые значения взятых на себя получателем субсидии обязательств указаны в соглашении (договоре) о предоставлении субсидии (гранта), а также срок их достижения.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зависимости от вида субсидии или гранта получатель обязуется в определенный срок либо увеличить выручку (доход) своего бизнеса на определенную величину (процент), либо увеличить численность наёмных сотрудников, уровень среднемесячной заработной платы либо — при получении гранта — реализовать бизнес-проект в полном объёме. В порядке могут содержаться два или даже три показателя к выполнению. Предприниматель в большинстве случаев может выбрать показатели для выполнения из определенных Порядком предоставления субсидии. Показатели и сроки их выполнения фиксируются  как результат предоставления субсидии или гранта в приложении к договору получателя с комитетом по развитию малого, среднего бизнеса и потребительского рынка Ленинградской области о предоставлении субсидии или гранта.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Ниже размещаем информацию об основных показателях — определения и порядок расчета.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Выручка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 (статья 249 Налогового кодекса Российской Федерации) за отчетный год.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Значение показателя рассчитывается на основании следующих данных: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При использовании предпринимателями общей системы налогообложения (ОСНО):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Юридические лица: 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основании значения показателя «Выручка» по годовому Отчету о финансовых результатах за отчетный год, который предоставляется в ФНС.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Индивидуальные предприниматели: 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основании суммы значений строк 010, 020 и 030 Раздела 2 Налоговой декларации по налогу на доходы физических лиц (форма 3-НДФЛ) за отчетный год, предоставляемой в ФНС.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 использовании предпринимателями упрощенной системы налогообложения (УСН):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Юридические лица: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на основании значения показателя «Выручка» по годовому Отчету о финансовых результатах за отчетный год, который предоставляется в ФНС.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Индивидуальные предприниматели: 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основании значения строки 113 (объект налогообложения – доходы) или строки 213 (объект налогообложения – доходы, уменьшенные на величину расходов) Налоговой декларации по налогу, уплачиваемому в связи с применением упрощенной системы налогообложения, за отчетный год, которая предоставляется в ФНС.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При использовании предпринимателями патентной системы налогообложения: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Индивидуальные предприниматели: на основании Книги доходов и расходов за отчетный год, в которой в том числе учитываются все доходы и общая итоговая сумма за отчетный год.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Среднесписочная численность работников (ССЧ) 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определяется на основании данных, предоставленных за отчетный год в ФНС.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ССЧ исчисляется путем суммирования списочной численности работников за каждый календарный день года, включая праздничные (нерабочие) и выходные дни, и деления полученной суммы на число календарных дней года – в соответствии с Приказом Федеральной службы государственной статистики от 30.11.2022 № 872.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Как рассчитать среднесписочную численность наёмных сотрудников, смотрите в </w:t>
      </w:r>
      <w:hyperlink r:id="rId4" w:history="1">
        <w:r w:rsidRPr="00756630">
          <w:rPr>
            <w:rFonts w:ascii="Arial" w:eastAsia="Times New Roman" w:hAnsi="Arial" w:cs="Arial"/>
            <w:color w:val="548DD4" w:themeColor="text2" w:themeTint="99"/>
            <w:sz w:val="24"/>
            <w:szCs w:val="24"/>
            <w:bdr w:val="none" w:sz="0" w:space="0" w:color="auto" w:frame="1"/>
            <w:lang w:eastAsia="ru-RU"/>
          </w:rPr>
          <w:t>инструкции</w:t>
        </w:r>
      </w:hyperlink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Среднемесячная заработная плата.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Для расчета средней заработной платы учитываются все предусмотренные системой оплаты труда виды выплат, применяемые у работодателя независимо от источников этих выплат. При любом режиме работы расчет средней заработной платы работника производится исходя из фактически </w:t>
      </w:r>
      <w:r w:rsidR="00F13AF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выплеченной</w:t>
      </w:r>
      <w:bookmarkStart w:id="0" w:name="_GoBack"/>
      <w:bookmarkEnd w:id="0"/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ему заработной платы и фактически отработанного им времени за 12 календарных месяцев (статья 139 Трудового кодекса Российской Федерации).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Положение об особенностях порядка исчисления средней заработной платы, утвержденное Постановлением Правительства Российской Федерации от 24.12.2007 № 922, устанавливает особенности порядка исчисления средней заработной платы (среднего заработка) для всех случаев определения ее размера, предусмотренных Трудовым кодексом Российской Федерации, в частности указывает виды выплат, учитываемые при расчете средней заработной платы, включая оклад.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Формируется  на основании следующих данных и в следующем порядке: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Данные из отчета по форме ЕФС-1 (Раздел 2) за 4 квартал отчетного года по строке 3 «Итого база для начисления страховых взносов (стр. 1 – стр. 2)» столбца 3 «Всего с начала расчетного периода» разделить на значение среднесписочной </w:t>
      </w: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численности, указанной в этом же разделе отчета, разделить на 12 (месяцев) или количество месяцев деятельности субъекта МСП (с даты регистрации), зарегистрированного в году предоставления субсидии.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b/>
          <w:bCs/>
          <w:color w:val="1A1A1A"/>
          <w:sz w:val="24"/>
          <w:szCs w:val="24"/>
          <w:u w:val="single"/>
          <w:bdr w:val="none" w:sz="0" w:space="0" w:color="auto" w:frame="1"/>
          <w:lang w:eastAsia="ru-RU"/>
        </w:rPr>
        <w:t>Отчетный период до 01.01.2023: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Данные из отчета по форме 4-ФСС за 4 квартал отчетного года по строке 3 «Итого база для начисления страховых взносов (стр. 1 – стр. 2)» столбца 3 «Всего с начала расчетного периода» разделить на значение среднесписочной численности, указанной на 1-м листе отчета, разделить на 12 (месяцев) или количество месяцев деятельности субъекта МСП, зарегистрированного в году предоставления субсидии.</w:t>
      </w:r>
    </w:p>
    <w:p w:rsidR="00756630" w:rsidRPr="00756630" w:rsidRDefault="00756630" w:rsidP="0075663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Определяется по рассчитанному значению на отчетную дату, которое должно быть не менее значения, указанного в Соглашении о предоставлении субсидии.</w:t>
      </w:r>
    </w:p>
    <w:p w:rsidR="00756630" w:rsidRPr="00756630" w:rsidRDefault="00756630" w:rsidP="0075663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56630">
        <w:rPr>
          <w:rFonts w:ascii="inherit" w:eastAsia="Times New Roman" w:hAnsi="inherit" w:cs="Arial"/>
          <w:i/>
          <w:iCs/>
          <w:color w:val="1A1A1A"/>
          <w:sz w:val="24"/>
          <w:szCs w:val="24"/>
          <w:bdr w:val="none" w:sz="0" w:space="0" w:color="auto" w:frame="1"/>
          <w:lang w:eastAsia="ru-RU"/>
        </w:rPr>
        <w:t>При необходимости дополнительную консультацию можно получить в ГКУ «Ленинградский областной центр поддержки предпринимательства», телефон 8 (812) 576-64-06.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30"/>
    <w:rsid w:val="002F002D"/>
    <w:rsid w:val="00756630"/>
    <w:rsid w:val="009A6FBC"/>
    <w:rsid w:val="00B46F4E"/>
    <w:rsid w:val="00F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9C75"/>
  <w15:docId w15:val="{8C2C1F25-CCC0-435A-8FE6-26778AF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630"/>
    <w:rPr>
      <w:b/>
      <w:bCs/>
    </w:rPr>
  </w:style>
  <w:style w:type="character" w:styleId="a5">
    <w:name w:val="Hyperlink"/>
    <w:basedOn w:val="a0"/>
    <w:uiPriority w:val="99"/>
    <w:semiHidden/>
    <w:unhideWhenUsed/>
    <w:rsid w:val="00756630"/>
    <w:rPr>
      <w:color w:val="0000FF"/>
      <w:u w:val="single"/>
    </w:rPr>
  </w:style>
  <w:style w:type="character" w:styleId="a6">
    <w:name w:val="Emphasis"/>
    <w:basedOn w:val="a0"/>
    <w:uiPriority w:val="20"/>
    <w:qFormat/>
    <w:rsid w:val="0075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ll.lenobl.ru/media/uploads/userfiles/2023/08/07/%D0%9F%D0%BE%D1%80%D1%8F%D0%B4%D0%BE%D0%BA_%D1%80%D0%B0%D1%81%D1%87%D0%B5%D1%82%D0%B0_%D1%81%D1%80%D0%B5%D0%B4%D0%BD%D0%B5%D1%81%D0%BF%D0%B8%D1%81%D0%BE%D1%87%D0%BD%D0%BE%D0%B9_%D1%87%D0%B8%D1%81%D0%BB%D0%B5%D0%BD%D0%BD%D0%BE%D1%81%D1%82%D0%B8_%D1%80%D0%B0%D0%B1%D0%BE%D1%82%D0%BD%D0%B8%D0%BA%D0%BE%D0%B2_6h1bxr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Ширинова Эльмира Эльшадовна</cp:lastModifiedBy>
  <cp:revision>3</cp:revision>
  <dcterms:created xsi:type="dcterms:W3CDTF">2023-11-22T09:40:00Z</dcterms:created>
  <dcterms:modified xsi:type="dcterms:W3CDTF">2023-11-24T08:45:00Z</dcterms:modified>
</cp:coreProperties>
</file>